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B874" w14:textId="77777777" w:rsidR="00953F7F" w:rsidRPr="00953F7F" w:rsidRDefault="00953F7F" w:rsidP="00953F7F">
      <w:pPr>
        <w:jc w:val="both"/>
      </w:pPr>
      <w:r w:rsidRPr="00953F7F">
        <w:t>Vážení,</w:t>
      </w:r>
    </w:p>
    <w:p w14:paraId="657ABE93" w14:textId="77777777" w:rsidR="00953F7F" w:rsidRPr="00953F7F" w:rsidRDefault="00953F7F" w:rsidP="00953F7F">
      <w:pPr>
        <w:jc w:val="both"/>
      </w:pPr>
      <w:r w:rsidRPr="00953F7F">
        <w:t>Generální finanční ředitelství (dále jen „GFŘ“) obdrželo dne 18.5.2026 Váš dotaz týkající se sdílení přebytků elektrické energie (dále jen „EE“) získané z fotovoltaické elektrárny (dále jen „FVE“) na budově obchodní korporace s jednatelem dotčené korporace.</w:t>
      </w:r>
    </w:p>
    <w:p w14:paraId="3592DBBE" w14:textId="77777777" w:rsidR="00953F7F" w:rsidRPr="00953F7F" w:rsidRDefault="00953F7F" w:rsidP="00953F7F">
      <w:pPr>
        <w:jc w:val="both"/>
        <w:rPr>
          <w:u w:val="single"/>
        </w:rPr>
      </w:pPr>
      <w:r w:rsidRPr="00953F7F">
        <w:rPr>
          <w:u w:val="single"/>
        </w:rPr>
        <w:t>Obvyklost ceny z pohledu daně z příjmů</w:t>
      </w:r>
    </w:p>
    <w:p w14:paraId="5E04DDD1" w14:textId="77777777" w:rsidR="00953F7F" w:rsidRPr="00953F7F" w:rsidRDefault="00953F7F" w:rsidP="00953F7F">
      <w:pPr>
        <w:jc w:val="both"/>
      </w:pPr>
      <w:r w:rsidRPr="00953F7F">
        <w:t xml:space="preserve">Pro Vámi uvedený případ je relevantní ustanovení § 23 odst. 7 zákona č. 586/1992 Sb., o daních z příjmů, v platném znění (dále jen „ZDP“), protože v daném případě se osoba jednatele podílí na vedení nebo kontrole právnické osoby (§ 23 odst. 7 písm. b) bod 1. ZDP). ZDP v uvedeném ustanovení neuvádí konkrétní metody stanovení obvyklé ceny. Tyto jsou podrobně komentovány ve Směrnici OECD o převodních cenách pro nadnárodní podniky a daňové správy (dále jen „Směrnice OECD“), která je považována za platné výkladové pravidlo ke způsobu stanovení převodních cen. Ani Směrnice OECD ale nedefinuje „správný“ způsob, resp. správnou metodu pro stanovení ceny v konkrétních transakcích a vztazích mezi spojenými osobami. Nicméně je-li možné identifikovat totožnou či aspoň obdobnou nezávislou cenu (tzv. srovnatelná nezávislá cena „CUP“) ve srovnatelných transakcích za srovnatelných podmínek mezi nespojenými subjekty, je použití takovéto ceny Směrnicí OECD preferováno, a to i s případným provedením uprav srovnatelnosti (jsou-li možné, resp. způsobilé zvýšit srovnatelnost použité ceny). </w:t>
      </w:r>
    </w:p>
    <w:p w14:paraId="5472B64C" w14:textId="77777777" w:rsidR="00953F7F" w:rsidRPr="00953F7F" w:rsidRDefault="00953F7F" w:rsidP="00953F7F">
      <w:pPr>
        <w:jc w:val="both"/>
      </w:pPr>
      <w:r w:rsidRPr="00953F7F">
        <w:t xml:space="preserve">Dle Směrnice OECD (např. bod 1.106) je zásadní správné vymezení posuzované transakce mezi spojenými osobami, tedy co je faktickou podstatou a smyslem řešeného vztahu mezi spojenými osobami (obchodní korporací a jejím jednatelem). Ve Vámi dotazovaném případu jde především o to, zda touto podstatou je obchodování s EE „vyrobenou“ FVE ve vlastnictví právnické osoby, nebo prodej přebytečných, pro potřeby producenta nespotřebovaných přetoků EE. Podstata vymezené transakce se přitom může odvíjet od několika faktorů, především od samotného rozsahu projektu či modelu fungování FVE a následného nastavení souvisejících vztahů se spřízněnými subjekty. Pokud by například producent elektřiny z vlastní FVE projektoval její výkon na 200 </w:t>
      </w:r>
      <w:proofErr w:type="spellStart"/>
      <w:r w:rsidRPr="00953F7F">
        <w:t>MWh</w:t>
      </w:r>
      <w:proofErr w:type="spellEnd"/>
      <w:r w:rsidRPr="00953F7F">
        <w:t xml:space="preserve">, ačkoli by jeho stávající či plánovaná spotřeba elektřiny činila 50 </w:t>
      </w:r>
      <w:proofErr w:type="spellStart"/>
      <w:r w:rsidRPr="00953F7F">
        <w:t>MWh</w:t>
      </w:r>
      <w:proofErr w:type="spellEnd"/>
      <w:r w:rsidRPr="00953F7F">
        <w:t xml:space="preserve"> s tím, že dalších 150 </w:t>
      </w:r>
      <w:proofErr w:type="spellStart"/>
      <w:r w:rsidRPr="00953F7F">
        <w:t>MWh</w:t>
      </w:r>
      <w:proofErr w:type="spellEnd"/>
      <w:r w:rsidRPr="00953F7F">
        <w:t xml:space="preserve"> prodá spřízněným subjektům, logicky by se takový projekt jevil spíše jako obchodní plán na produkci a dodávku elektrické energie spojeným osobám než pouhý prodej přetoků EE včetně odpovídajícího dopadu na srovnatelnost ceny. Stejně tak, pokud by vlastník FVE a producent elektřiny využíval dodávky elektřiny od standardního nespřízněného dodavatele a elektřinu ze „svého“ FVE zdroje by nevyužíval pro sebe, ale prodával by ji spojeným osobám, opět by takový model odpovídal spíše obchodování s elektřinou než prodeji přetoků EE. </w:t>
      </w:r>
    </w:p>
    <w:p w14:paraId="55661111" w14:textId="77777777" w:rsidR="00953F7F" w:rsidRPr="00953F7F" w:rsidRDefault="00953F7F" w:rsidP="00953F7F">
      <w:pPr>
        <w:jc w:val="both"/>
      </w:pPr>
      <w:r w:rsidRPr="00953F7F">
        <w:t xml:space="preserve">Z Vašeho popisu okolností lze dovodit, že převážnou většinu celkového objemu EE produkované z FVE využívá obchodní korporace pro svou potřebu a zbytek odprodává především obchodníkovi s elektřinou (usuzujeme, že se jedná o nespojenou osobu). </w:t>
      </w:r>
      <w:r w:rsidRPr="00953F7F">
        <w:lastRenderedPageBreak/>
        <w:t xml:space="preserve">Z dotazu nevyplývají okolnosti a důvody, proč obchodní korporace využívá „jen“ cca 70 % EE z FVE, nicméně dle stručně podaných informací se jeví, že EE prodávaná jednateli obchodní korporace produkující EE z FVE by odpovídala svou podstatou prodeji přetoků EE. Nejednalo by se tedy v daném případě o výrobu EE prostřednictví FVE za účelem obchodování s ní. Úmysl vlastníka FVE využívat EE především pro vlastní spotřebu lze doložit např. okamžikem vzniku přebytků a související spotřebou EE (dny pracovního klidu, dny se slunečním svitem apod.). </w:t>
      </w:r>
    </w:p>
    <w:p w14:paraId="528D6EB0" w14:textId="77777777" w:rsidR="00953F7F" w:rsidRPr="00953F7F" w:rsidRDefault="00953F7F" w:rsidP="00953F7F">
      <w:pPr>
        <w:jc w:val="both"/>
      </w:pPr>
      <w:r w:rsidRPr="00953F7F">
        <w:t>Pokud tedy projekt FVE (zejména její plánovaný výkon vzhledem ke standardní průměrné spotřebě EE zámečnickou výrobou) odpovídá svou podstatou produkci EE pro vlastní potřebu, bylo by možné pro účely dodržení principu tržního odstupu použít srovnatelnou interní nezávislou cenu přetoků EE nasmlouvanou vůči Vašemu konkrétnímu obchodníku s EE.</w:t>
      </w:r>
    </w:p>
    <w:p w14:paraId="1B52123D" w14:textId="77777777" w:rsidR="00953F7F" w:rsidRPr="00953F7F" w:rsidRDefault="00953F7F" w:rsidP="00953F7F">
      <w:pPr>
        <w:jc w:val="both"/>
      </w:pPr>
      <w:r w:rsidRPr="00953F7F">
        <w:t xml:space="preserve">Pokud by naopak projekt FVE odpovídal obchodování s EE, za obvyklou cenu by byla považována standardní tržní cena EE zjištěná např. z nabídek dodavatelů EE, nebo cena zjištěná na základě průměru burzovních spotových cen EE. </w:t>
      </w:r>
    </w:p>
    <w:p w14:paraId="2B7B9C13" w14:textId="77777777" w:rsidR="00953F7F" w:rsidRPr="00953F7F" w:rsidRDefault="00953F7F" w:rsidP="00953F7F">
      <w:pPr>
        <w:jc w:val="both"/>
      </w:pPr>
      <w:r w:rsidRPr="00953F7F">
        <w:t>Pro úplnost uvádíme, že předmětem rozboru nejsou regulované složky ceny EE.</w:t>
      </w:r>
    </w:p>
    <w:p w14:paraId="0BFE8DAB" w14:textId="77777777" w:rsidR="00953F7F" w:rsidRPr="00953F7F" w:rsidRDefault="00953F7F" w:rsidP="00953F7F">
      <w:pPr>
        <w:jc w:val="both"/>
        <w:rPr>
          <w:u w:val="single"/>
        </w:rPr>
      </w:pPr>
      <w:r w:rsidRPr="00953F7F">
        <w:rPr>
          <w:u w:val="single"/>
        </w:rPr>
        <w:t>Kontext a podmínky daně z přidané hodnoty</w:t>
      </w:r>
    </w:p>
    <w:p w14:paraId="3F8D8E8C" w14:textId="77777777" w:rsidR="00953F7F" w:rsidRPr="00953F7F" w:rsidRDefault="00953F7F" w:rsidP="00953F7F">
      <w:pPr>
        <w:jc w:val="both"/>
      </w:pPr>
      <w:r w:rsidRPr="00953F7F">
        <w:t xml:space="preserve">Dle informací v registru ARES je Vámi uváděná obchodní korporace plátcem DPH. Základním pravidlem pro stanovení základu daně u plnění (dodání zboží nebo poskytnutí služby) je § 36 zákona č. 235/2004 Sb., o dani z přidané hodnoty, v platném znění (dále jen „ZDPH“) dle kterého je základem daně vše, co jako úplatu obdržel nebo má obdržet plátce za uskutečněné zdanitelné plnění. </w:t>
      </w:r>
    </w:p>
    <w:p w14:paraId="5312A729" w14:textId="77777777" w:rsidR="00953F7F" w:rsidRPr="00953F7F" w:rsidRDefault="00953F7F" w:rsidP="00953F7F">
      <w:pPr>
        <w:jc w:val="both"/>
      </w:pPr>
      <w:r w:rsidRPr="00953F7F">
        <w:t>Pro úplnost uvádíme, že ve zvláštních případech podle § 36a ZDPH se základem daně stává obvyklá cena, a to pouze tehdy, jsou-li současně splněny podmínky vztahu mezi osobami podle § 36a odst. 3 ZDPH a podmínky týkající se omezeného nároku na odpočet. V takovém případě by základem daně byla obvyklá cena bez daně ke dni uskutečnění plnění. Obvyklou cenou se dle § 36 odst. 15 ZDPH rozumí cena, kterou by osoba nacházející se na stejném obchodním stupni zaplatila v podmínkách volné hospodářské soutěže nezávislému dodavateli v tuzemsku.</w:t>
      </w:r>
    </w:p>
    <w:p w14:paraId="5A6B8633" w14:textId="77777777" w:rsidR="00953F7F" w:rsidRPr="00953F7F" w:rsidRDefault="00953F7F" w:rsidP="00953F7F">
      <w:pPr>
        <w:jc w:val="both"/>
      </w:pPr>
      <w:r w:rsidRPr="00953F7F">
        <w:t>Při posuzování Vámi předloženého dotazu vycházelo Generální finanční ředitelství výhradně z údajů uvedených ve Vašem podání bez podrobných znalostí konkrétních informací a souvislostí, které se k předmětnému problému vztahují. Dále si Vás dovolujeme upozornit na skutečnost, že Generální finanční ředitelství není oprávněno k závaznému výkladu právních předpisů a rovněž k poskytování právního poradenství v individuálních záležitostech.</w:t>
      </w:r>
    </w:p>
    <w:p w14:paraId="76998CF4" w14:textId="77777777" w:rsidR="000E654E" w:rsidRDefault="000E654E" w:rsidP="00953F7F">
      <w:pPr>
        <w:jc w:val="both"/>
      </w:pPr>
    </w:p>
    <w:sectPr w:rsidR="000E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F7F"/>
    <w:rsid w:val="000E654E"/>
    <w:rsid w:val="003E2934"/>
    <w:rsid w:val="008F3DC6"/>
    <w:rsid w:val="00953F7F"/>
    <w:rsid w:val="00DC13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4555"/>
  <w15:chartTrackingRefBased/>
  <w15:docId w15:val="{7C11C857-9946-4CE8-A42E-B6C22D4A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53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53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53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53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53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53F7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53F7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53F7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53F7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53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53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53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53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53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53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53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53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53F7F"/>
    <w:rPr>
      <w:rFonts w:eastAsiaTheme="majorEastAsia" w:cstheme="majorBidi"/>
      <w:color w:val="272727" w:themeColor="text1" w:themeTint="D8"/>
    </w:rPr>
  </w:style>
  <w:style w:type="paragraph" w:styleId="Nzev">
    <w:name w:val="Title"/>
    <w:basedOn w:val="Normln"/>
    <w:next w:val="Normln"/>
    <w:link w:val="NzevChar"/>
    <w:uiPriority w:val="10"/>
    <w:qFormat/>
    <w:rsid w:val="00953F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53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53F7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53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53F7F"/>
    <w:pPr>
      <w:spacing w:before="160"/>
      <w:jc w:val="center"/>
    </w:pPr>
    <w:rPr>
      <w:i/>
      <w:iCs/>
      <w:color w:val="404040" w:themeColor="text1" w:themeTint="BF"/>
    </w:rPr>
  </w:style>
  <w:style w:type="character" w:customStyle="1" w:styleId="CittChar">
    <w:name w:val="Citát Char"/>
    <w:basedOn w:val="Standardnpsmoodstavce"/>
    <w:link w:val="Citt"/>
    <w:uiPriority w:val="29"/>
    <w:rsid w:val="00953F7F"/>
    <w:rPr>
      <w:i/>
      <w:iCs/>
      <w:color w:val="404040" w:themeColor="text1" w:themeTint="BF"/>
    </w:rPr>
  </w:style>
  <w:style w:type="paragraph" w:styleId="Odstavecseseznamem">
    <w:name w:val="List Paragraph"/>
    <w:basedOn w:val="Normln"/>
    <w:uiPriority w:val="34"/>
    <w:qFormat/>
    <w:rsid w:val="00953F7F"/>
    <w:pPr>
      <w:ind w:left="720"/>
      <w:contextualSpacing/>
    </w:pPr>
  </w:style>
  <w:style w:type="character" w:styleId="Zdraznnintenzivn">
    <w:name w:val="Intense Emphasis"/>
    <w:basedOn w:val="Standardnpsmoodstavce"/>
    <w:uiPriority w:val="21"/>
    <w:qFormat/>
    <w:rsid w:val="00953F7F"/>
    <w:rPr>
      <w:i/>
      <w:iCs/>
      <w:color w:val="0F4761" w:themeColor="accent1" w:themeShade="BF"/>
    </w:rPr>
  </w:style>
  <w:style w:type="paragraph" w:styleId="Vrazncitt">
    <w:name w:val="Intense Quote"/>
    <w:basedOn w:val="Normln"/>
    <w:next w:val="Normln"/>
    <w:link w:val="VrazncittChar"/>
    <w:uiPriority w:val="30"/>
    <w:qFormat/>
    <w:rsid w:val="00953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53F7F"/>
    <w:rPr>
      <w:i/>
      <w:iCs/>
      <w:color w:val="0F4761" w:themeColor="accent1" w:themeShade="BF"/>
    </w:rPr>
  </w:style>
  <w:style w:type="character" w:styleId="Odkazintenzivn">
    <w:name w:val="Intense Reference"/>
    <w:basedOn w:val="Standardnpsmoodstavce"/>
    <w:uiPriority w:val="32"/>
    <w:qFormat/>
    <w:rsid w:val="00953F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4774</Characters>
  <Application>Microsoft Office Word</Application>
  <DocSecurity>0</DocSecurity>
  <Lines>39</Lines>
  <Paragraphs>11</Paragraphs>
  <ScaleCrop>false</ScaleCrop>
  <Company>GFR</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Hlava David Ing. (GFŘ)</dc:creator>
  <cp:keywords/>
  <dc:description/>
  <cp:lastModifiedBy>Hlava David Ing. (GFŘ)</cp:lastModifiedBy>
  <cp:revision>1</cp:revision>
  <dcterms:created xsi:type="dcterms:W3CDTF">2026-08-05T11:14:00Z</dcterms:created>
  <dcterms:modified xsi:type="dcterms:W3CDTF">2026-08-05T11:14:00Z</dcterms:modified>
</cp:coreProperties>
</file>